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Rilascio passaporto mortuario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 passaporto mortuario.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Per il trasporto di una salma dall'Italia al paese di appartenenza/origine del defunto per la sepoltura e' nece</w:t>
            </w:r>
            <w:r>
              <w:rPr>
                <w:rFonts w:ascii="Arial" w:hAnsi="Arial"/>
              </w:rPr>
              <w:t>ssario conseguire l'autorizzazione per l'estradizione (detta anche passaporto mortuario) previa richiesta documentata all'Ufficio di Stato Civile del comune del decesso o del comune ove il cadavere e' stato rinvenuto.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 xml:space="preserve">La documentazione da presentare varia </w:t>
            </w:r>
            <w:r>
              <w:rPr>
                <w:rFonts w:ascii="Arial" w:hAnsi="Arial"/>
              </w:rPr>
              <w:t>a seconda che il trasporto sia diretto o meno ad uno dei paese aderenti alla convenzione di Berlino del 10.2.1937.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Devono ugualmente richiedere l'autorizzazione coloro che, avendone titolo, desiderino introdurre in Italia la salma, le ceneri od i resti mor</w:t>
            </w:r>
            <w:r>
              <w:rPr>
                <w:rFonts w:ascii="Arial" w:hAnsi="Arial"/>
              </w:rPr>
              <w:t>tali mineralizzati di un familiare deceduto all'estero per la sua sepoltura in un cimitero del territorio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Legge regionale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26551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ucio Telefono 0384253015</w:t>
            </w:r>
          </w:p>
          <w:p w:rsidR="00AA6810" w:rsidRPr="0026551A" w:rsidRDefault="0026551A">
            <w:pPr>
              <w:jc w:val="both"/>
              <w:rPr>
                <w:lang w:val="en-US"/>
              </w:rPr>
            </w:pPr>
            <w:proofErr w:type="spellStart"/>
            <w:r w:rsidRPr="0026551A">
              <w:rPr>
                <w:rFonts w:ascii="Arial" w:hAnsi="Arial"/>
                <w:lang w:val="en-US"/>
              </w:rPr>
              <w:t>EMail</w:t>
            </w:r>
            <w:proofErr w:type="spellEnd"/>
            <w:r w:rsidRPr="0026551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L'autorizzazione all'estradizione, rilasciata dal Comune e' comunicata al Prefetto della Provincia del luogo italiano di frontiera (marino, aereo o terrestre). Gli oneri di legalizzazione e traduzione nella lingua ufficiale del paese di destinazione sono a carico degli interessati.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all'estradizione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A6810" w:rsidRDefault="0026551A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551A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A6810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2020-06-30T10:57:00Z</dcterms:modified>
</cp:coreProperties>
</file>